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354"/>
        <w:ind w:left="0" w:right="0"/>
      </w:pPr>
    </w:p>
    <w:p>
      <w:pPr>
        <w:autoSpaceDN w:val="0"/>
        <w:autoSpaceDE w:val="0"/>
        <w:widowControl/>
        <w:spacing w:line="288" w:lineRule="exact" w:before="0" w:after="0"/>
        <w:ind w:left="0" w:right="236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Председателю Следственного комитета</w:t>
      </w:r>
    </w:p>
    <w:p>
      <w:pPr>
        <w:autoSpaceDN w:val="0"/>
        <w:autoSpaceDE w:val="0"/>
        <w:widowControl/>
        <w:spacing w:line="288" w:lineRule="exact" w:before="10" w:after="0"/>
        <w:ind w:left="0" w:right="2052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Российской Федерации</w:t>
      </w:r>
    </w:p>
    <w:p>
      <w:pPr>
        <w:autoSpaceDN w:val="0"/>
        <w:autoSpaceDE w:val="0"/>
        <w:widowControl/>
        <w:spacing w:line="288" w:lineRule="exact" w:before="12" w:after="0"/>
        <w:ind w:left="0" w:right="273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Бастрыкину А.И.</w:t>
      </w:r>
    </w:p>
    <w:p>
      <w:pPr>
        <w:autoSpaceDN w:val="0"/>
        <w:autoSpaceDE w:val="0"/>
        <w:widowControl/>
        <w:spacing w:line="288" w:lineRule="exact" w:before="10" w:after="0"/>
        <w:ind w:left="0" w:right="17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105005, г. Москва, Технический пер., д. </w:t>
      </w:r>
    </w:p>
    <w:p>
      <w:pPr>
        <w:autoSpaceDN w:val="0"/>
        <w:autoSpaceDE w:val="0"/>
        <w:widowControl/>
        <w:spacing w:line="288" w:lineRule="exact" w:before="12" w:after="0"/>
        <w:ind w:left="0" w:right="4512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2</w:t>
      </w:r>
    </w:p>
    <w:p>
      <w:pPr>
        <w:autoSpaceDN w:val="0"/>
        <w:autoSpaceDE w:val="0"/>
        <w:widowControl/>
        <w:spacing w:line="288" w:lineRule="exact" w:before="310" w:after="0"/>
        <w:ind w:left="0" w:right="45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от [фамилия, имя, отчество],</w:t>
      </w:r>
    </w:p>
    <w:p>
      <w:pPr>
        <w:autoSpaceDN w:val="0"/>
        <w:autoSpaceDE w:val="0"/>
        <w:widowControl/>
        <w:spacing w:line="288" w:lineRule="exact" w:before="10" w:after="0"/>
        <w:ind w:left="0" w:right="170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[дата рождения] года рождения,</w:t>
      </w:r>
    </w:p>
    <w:p>
      <w:pPr>
        <w:autoSpaceDN w:val="0"/>
        <w:autoSpaceDE w:val="0"/>
        <w:widowControl/>
        <w:spacing w:line="288" w:lineRule="exact" w:before="12" w:after="0"/>
        <w:ind w:left="0" w:right="62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почтовый адрес для ответа: [почтовый адрес]</w:t>
      </w:r>
    </w:p>
    <w:p>
      <w:pPr>
        <w:autoSpaceDN w:val="0"/>
        <w:autoSpaceDE w:val="0"/>
        <w:widowControl/>
        <w:spacing w:line="288" w:lineRule="exact" w:before="10" w:after="0"/>
        <w:ind w:left="0" w:right="404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</w:r>
    </w:p>
    <w:p>
      <w:pPr>
        <w:autoSpaceDN w:val="0"/>
        <w:autoSpaceDE w:val="0"/>
        <w:widowControl/>
        <w:spacing w:line="288" w:lineRule="exact" w:before="12" w:after="0"/>
        <w:ind w:left="0" w:right="1862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</w:r>
    </w:p>
    <w:p>
      <w:pPr>
        <w:autoSpaceDN w:val="0"/>
        <w:autoSpaceDE w:val="0"/>
        <w:widowControl/>
        <w:spacing w:line="288" w:lineRule="exact" w:before="10" w:after="0"/>
        <w:ind w:left="0" w:right="2016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телефон: [телефон]</w:t>
      </w:r>
    </w:p>
    <w:p>
      <w:pPr>
        <w:autoSpaceDN w:val="0"/>
        <w:autoSpaceDE w:val="0"/>
        <w:widowControl/>
        <w:spacing w:line="288" w:lineRule="exact" w:before="12" w:after="0"/>
        <w:ind w:left="0" w:right="21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электронная почта: [электронная почта]</w:t>
      </w:r>
    </w:p>
    <w:p>
      <w:pPr>
        <w:autoSpaceDN w:val="0"/>
        <w:autoSpaceDE w:val="0"/>
        <w:widowControl/>
        <w:spacing w:line="310" w:lineRule="exact" w:before="252" w:after="0"/>
        <w:ind w:left="0" w:right="2492" w:firstLine="0"/>
        <w:jc w:val="right"/>
      </w:pPr>
      <w:r>
        <w:rPr>
          <w:rFonts w:ascii="Liberation Serif" w:hAnsi="Liberation Serif" w:eastAsia="Liberation Serif"/>
          <w:b/>
          <w:i w:val="0"/>
          <w:color w:val="000000"/>
          <w:sz w:val="28"/>
        </w:rPr>
        <w:t>ЗАЯВЛЕНИЕ О ПРЕСТУПЛЕНИИ</w:t>
      </w:r>
    </w:p>
    <w:p>
      <w:pPr>
        <w:autoSpaceDN w:val="0"/>
        <w:autoSpaceDE w:val="0"/>
        <w:widowControl/>
        <w:spacing w:line="288" w:lineRule="exact" w:before="70" w:after="0"/>
        <w:ind w:left="92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о признаках преступлений должностных лиц Военной прокуратуры </w:t>
      </w:r>
    </w:p>
    <w:p>
      <w:pPr>
        <w:autoSpaceDN w:val="0"/>
        <w:autoSpaceDE w:val="0"/>
        <w:widowControl/>
        <w:spacing w:line="288" w:lineRule="exact" w:before="12" w:after="0"/>
        <w:ind w:left="422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Московского военного округа при осуществлении закупок в 2024-2026 годах</w:t>
      </w:r>
    </w:p>
    <w:p>
      <w:pPr>
        <w:autoSpaceDN w:val="0"/>
        <w:autoSpaceDE w:val="0"/>
        <w:widowControl/>
        <w:spacing w:line="276" w:lineRule="exact" w:before="24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В соответствии со статьями 140, 141 и 144 Уголовно-процессуального кодекса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Российской Федерации сообщаю о признаках преступлений, совершенных, по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моему мнению, должностными лицами Военной прокуратуры Московского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военного округа (ИНН 9705220428, г. Москва) (далее также - заказчик) при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осуществлении закупок товаров, работ и услуг для обеспечения государственных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нужд в 2024-2026 годах, а также лицами, действовавшими с ними совместно.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Сведения и документы получены мною от третьих лиц. Мною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проанализированы документы 31 закупок и контрактов заказчика на общую сумму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около 51,7 млн руб.: извещения, обоснования начальной (максимальной) цены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контракта (далее - НМЦК), технические задания, протоколы, заявки участников в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имеющейся части, контракты, дополнительные соглашения, акты, платежные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документы, претензии. Тексты документов, в том числе сканированных, распознаны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полностью. Дополнительно исследованы свойства (метаданные) электронных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файлов документов заказчика: автор, лицо, последним сохранявшее файл,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организация, даты и время создания и изменения, пути к файлам на компьютере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автора, владельцы электронных подписей. Свойства файлов изменяются только при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их редактировании и позволяют установить, кем и когда фактически готовились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документы заказчика.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Заявление направляется Председателю Следственного комитета Российской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Федерации, поскольку контракты от имени заказчика подписаны военным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прокурором Московского военного округа Поповым А.В., в отношении которого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действует особый порядок, предусмотренный статьями 447, 448 УПК РФ.</w:t>
      </w:r>
    </w:p>
    <w:p>
      <w:pPr>
        <w:autoSpaceDN w:val="0"/>
        <w:autoSpaceDE w:val="0"/>
        <w:widowControl/>
        <w:spacing w:line="288" w:lineRule="exact" w:before="25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Должностные лица заказчика, причастные к закупкам (по документам и </w:t>
      </w:r>
    </w:p>
    <w:p>
      <w:pPr>
        <w:autoSpaceDN w:val="0"/>
        <w:autoSpaceDE w:val="0"/>
        <w:widowControl/>
        <w:spacing w:line="288" w:lineRule="exact" w:before="12" w:after="54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свойствам файлов)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300.0" w:type="dxa"/>
      </w:tblPr>
      <w:tblGrid>
        <w:gridCol w:w="4852"/>
        <w:gridCol w:w="4852"/>
      </w:tblGrid>
      <w:tr>
        <w:trPr>
          <w:trHeight w:hRule="exact" w:val="1902"/>
        </w:trPr>
        <w:tc>
          <w:tcPr>
            <w:tcW w:type="dxa" w:w="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478" w:lineRule="exact" w:before="0" w:after="0"/>
              <w:ind w:left="288" w:right="126" w:firstLine="0"/>
              <w:jc w:val="righ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•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•</w:t>
            </w:r>
          </w:p>
          <w:p>
            <w:pPr>
              <w:autoSpaceDN w:val="0"/>
              <w:autoSpaceDE w:val="0"/>
              <w:widowControl/>
              <w:spacing w:line="288" w:lineRule="exact" w:before="600" w:after="0"/>
              <w:ind w:left="0" w:right="126" w:firstLine="0"/>
              <w:jc w:val="righ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•</w:t>
            </w:r>
          </w:p>
        </w:tc>
        <w:tc>
          <w:tcPr>
            <w:tcW w:type="dxa" w:w="88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exact" w:before="66" w:after="0"/>
              <w:ind w:left="144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 xml:space="preserve">Попов А.В., военный прокурор Московского военного округа: подписант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контрактов.</w:t>
            </w:r>
          </w:p>
          <w:p>
            <w:pPr>
              <w:autoSpaceDN w:val="0"/>
              <w:autoSpaceDE w:val="0"/>
              <w:widowControl/>
              <w:spacing w:line="276" w:lineRule="exact" w:before="60" w:after="0"/>
              <w:ind w:left="144" w:right="0" w:firstLine="0"/>
              <w:jc w:val="both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 xml:space="preserve">Макаренко Алексей Андреевич, заместитель начальника АХО - помощник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 xml:space="preserve">военного прокурора: автор обоснований НМЦК и проектов контрактов,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ответственный за приемку товара.</w:t>
            </w:r>
          </w:p>
          <w:p>
            <w:pPr>
              <w:autoSpaceDN w:val="0"/>
              <w:autoSpaceDE w:val="0"/>
              <w:widowControl/>
              <w:spacing w:line="288" w:lineRule="exact" w:before="48" w:after="0"/>
              <w:ind w:left="144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Члены комиссии Назаров Д.В., Сергеев И.С., Тенгизов А.Х.</w:t>
            </w:r>
          </w:p>
        </w:tc>
      </w:tr>
    </w:tbl>
    <w:p>
      <w:pPr>
        <w:autoSpaceDN w:val="0"/>
        <w:autoSpaceDE w:val="0"/>
        <w:widowControl/>
        <w:spacing w:line="288" w:lineRule="exact" w:before="294" w:after="0"/>
        <w:ind w:left="0" w:right="469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1</w:t>
      </w:r>
    </w:p>
    <w:p>
      <w:pPr>
        <w:sectPr>
          <w:headerReference w:type="default" r:id="rId10"/>
          <w:footerReference w:type="default" r:id="rId11"/>
          <w:pgSz w:w="11906" w:h="16838"/>
          <w:pgMar w:top="572" w:right="762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4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300.0" w:type="dxa"/>
      </w:tblPr>
      <w:tblGrid>
        <w:gridCol w:w="4852"/>
        <w:gridCol w:w="4852"/>
      </w:tblGrid>
      <w:tr>
        <w:trPr>
          <w:trHeight w:hRule="exact" w:val="900"/>
        </w:trPr>
        <w:tc>
          <w:tcPr>
            <w:tcW w:type="dxa" w:w="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8" w:lineRule="exact" w:before="0" w:after="0"/>
              <w:ind w:left="0" w:right="126" w:firstLine="0"/>
              <w:jc w:val="righ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•</w:t>
            </w:r>
          </w:p>
        </w:tc>
        <w:tc>
          <w:tcPr>
            <w:tcW w:type="dxa" w:w="88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exact" w:before="12" w:after="0"/>
              <w:ind w:left="144" w:right="0" w:firstLine="0"/>
              <w:jc w:val="both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 xml:space="preserve">Неслужебные учетные записи «Соня и Саша», «Кирилл», под которыми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 xml:space="preserve">сохранялись контракты; посторонние авторы технических заданий «ГВСУ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(ОИ) Сафронов А.А.», Сиверский С.А.</w:t>
            </w:r>
          </w:p>
        </w:tc>
      </w:tr>
    </w:tbl>
    <w:p>
      <w:pPr>
        <w:autoSpaceDN w:val="0"/>
        <w:autoSpaceDE w:val="0"/>
        <w:widowControl/>
        <w:spacing w:line="288" w:lineRule="exact" w:before="19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События преступлений</w:t>
      </w:r>
    </w:p>
    <w:p>
      <w:pPr>
        <w:autoSpaceDN w:val="0"/>
        <w:autoSpaceDE w:val="0"/>
        <w:widowControl/>
        <w:spacing w:line="288" w:lineRule="exact" w:before="170" w:after="0"/>
        <w:ind w:left="0" w:right="0" w:firstLine="0"/>
        <w:jc w:val="center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1. Мебель на 14,8 млн руб. по фиктивному обоснованию НМЦК и ценам, в 4-6 </w:t>
      </w:r>
    </w:p>
    <w:p>
      <w:pPr>
        <w:autoSpaceDN w:val="0"/>
        <w:autoSpaceDE w:val="0"/>
        <w:widowControl/>
        <w:spacing w:line="288" w:lineRule="exact" w:before="1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раз выше цен того же поставщика (октябрь 2025 года)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0173400003825000010, контракт 1970522042825000009, ООО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«РЕСПЕКТ ОФИС», 14 844 590 руб. = НМЦК, единственная заявка. Во всех 44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строках обоснования НМЦК цены трех «коммерческих предложений» вычислены по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формуле: КП1 = среднее x 1,02, КП2 = среднее x 0,98, КП3 = среднее, т.е.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предложения не получены от поставщиков, а рассчитаны от заранее заданной цены.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Цены единиц в 4-6 раз выше цен того же поставщика по контракту, заключенному с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тем же заказчиком в августе 2025 года (извещение № 0173400003825000006): шкаф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для документов низкий закрытый 42 890 руб. против 7 160 руб., стол руководителя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79 888 руб. против 30 325 руб. По свойствам файлов обоснование НМЦК и проект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контракта созданы помощником военного прокурора Макаренко А.А., контракт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редактировался до 21.10.2025, после аукциона 20.10.2025 (57 редакций). Контракт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подписан военным прокурором округа Поповым А.В., исполнен и оплачен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18.11.2025, приемку осуществлял Макаренко А.А.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0"/>
        <w:jc w:val="both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Попов А.В. (военный прокурор Московского военного округа),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Макаренко А.А. (заместитель начальника АХО - помощник военного прокурора),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руководство ООО «РЕСПЕКТ ОФИС».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Ущерб 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14 844 590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руб..</w:t>
      </w:r>
    </w:p>
    <w:p>
      <w:pPr>
        <w:autoSpaceDN w:val="0"/>
        <w:autoSpaceDE w:val="0"/>
        <w:widowControl/>
        <w:spacing w:line="288" w:lineRule="exact" w:before="17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2. Приемка товара, не соответствующего контракту, с перераспределением </w:t>
      </w:r>
    </w:p>
    <w:p>
      <w:pPr>
        <w:autoSpaceDN w:val="0"/>
        <w:autoSpaceDE w:val="0"/>
        <w:widowControl/>
        <w:spacing w:line="288" w:lineRule="exact" w:before="1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цен под НМЦК (2026 год)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0173400003826000005, контракт 1970522042826000003, ИП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Великородняя Н.А., 690 160 руб. = НМЦК, единственная заявка. Согласно счету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поставщика, приложенному к УПД, поставлен терминал сбора данных iData K8 PRO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(экран 4 дюйма, процессор 2,0 ГГц, Wi-Fi, Bluetooth, 4G), тогда как контракт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требовал экран 4,3 дюйма, частоту не менее 2,45 ГГц и запрещал беспроводные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интерфейсы. В счете сканер штрих-кодов стоит 4 700 руб. против 7 271,33 руб. по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контракту, сканер документов 119 975 руб. против 107 533,33 руб.: цены позиций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изменены так, чтобы итог совпал с НМЦК. Характеристики сканера документов в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техническом задании совпадают с моделью Avision AD345GN из счета поставщика.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Техническое задание создано пользователем «ГВСУ (ОИ) Сафронов А.А.», т.е. в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другой организации. Товар принят без замечаний.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0"/>
        <w:jc w:val="both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Попов А.В., Макаренко А.А., члены комиссии Назаров Д.В.,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Сергеев И.С., Тенгизов А.Х., ИП Великородняя Н.А..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Ущерб (максимальная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690 160 руб..</w:t>
      </w:r>
    </w:p>
    <w:p>
      <w:pPr>
        <w:autoSpaceDN w:val="0"/>
        <w:autoSpaceDE w:val="0"/>
        <w:widowControl/>
        <w:spacing w:line="288" w:lineRule="exact" w:before="17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3. Мебель: заявки, отличающиеся на 15 копеек (август 2025 года)</w:t>
      </w:r>
    </w:p>
    <w:p>
      <w:pPr>
        <w:autoSpaceDN w:val="0"/>
        <w:autoSpaceDE w:val="0"/>
        <w:widowControl/>
        <w:spacing w:line="276" w:lineRule="exact" w:before="80" w:after="0"/>
        <w:ind w:left="264" w:right="0" w:firstLine="708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0173400003825000006, ООО «РЕСПЕКТ ОФИС», НМЦК 10 586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077 руб., контракт 8 998 165,30 руб. Заявка второго участника 8 998 165,45 руб., на 15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копеек дороже; обе ставки находятся ровно на отметке НМЦК x 0,85. Коммерческие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предложения по 28 позициям без наименований поставщиков с разбросом 0,02-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0,63%; техническое задание описывает конкретные модели каталога по названиям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без эквивалента. Последние правки контракта до 04.08.2025 внесены под учетной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записью «Соня и Саша» (неслужебный компьютер). Эпизод учтен в группе 2 расчета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ущерба и указан здесь для установления связи с эпизодом 1.</w:t>
      </w:r>
    </w:p>
    <w:p>
      <w:pPr>
        <w:autoSpaceDN w:val="0"/>
        <w:autoSpaceDE w:val="0"/>
        <w:widowControl/>
        <w:spacing w:line="288" w:lineRule="exact" w:before="162" w:after="0"/>
        <w:ind w:left="0" w:right="469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2</w:t>
      </w:r>
    </w:p>
    <w:p>
      <w:pPr>
        <w:sectPr>
          <w:pgSz w:w="11906" w:h="16838"/>
          <w:pgMar w:top="562" w:right="762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42"/>
        <w:ind w:left="0" w:right="0"/>
      </w:pPr>
    </w:p>
    <w:p>
      <w:pPr>
        <w:autoSpaceDN w:val="0"/>
        <w:autoSpaceDE w:val="0"/>
        <w:widowControl/>
        <w:spacing w:line="276" w:lineRule="exact" w:before="1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Попов А.В., Макаренко А.А., участники торгов.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Ущерб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учтен в группе 2 расчета ущерба.</w:t>
      </w:r>
    </w:p>
    <w:p>
      <w:pPr>
        <w:autoSpaceDN w:val="0"/>
        <w:autoSpaceDE w:val="0"/>
        <w:widowControl/>
        <w:spacing w:line="288" w:lineRule="exact" w:before="25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Систематические нарушения</w:t>
      </w:r>
    </w:p>
    <w:p>
      <w:pPr>
        <w:autoSpaceDN w:val="0"/>
        <w:autoSpaceDE w:val="0"/>
        <w:widowControl/>
        <w:spacing w:line="276" w:lineRule="exact" w:before="120" w:after="0"/>
        <w:ind w:left="264" w:right="20" w:firstLine="708"/>
        <w:jc w:val="both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Завышение НМЦК в разы.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В 30 из 31 закупки обоснование НМЦК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построено на безымянных коммерческих предложениях. Там, где на торги пришли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конкуренты, цена падала на 80-94%: картриджи № 0173400003826000004 (НМЦК 3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360 000 руб., контракт 201 600 руб., -94%) и № 0173400003826000008 (НМЦК 3 158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400 руб., контракт 568 512 руб., -82%), жалюзи № 0173400003825000012 (НМЦК 2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281 884 руб., цена победителя 442 604,48 руб., -80,6%, при заключении количество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увеличено в 6,8 раза до 1,76 млн руб.). Тем же методом определена НМЦК крупных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закупок с единственной заявкой, где цену никто не снизил: дубовая мебель ООО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«МАК-ВУД» № 0173400003826000014 (4 897 000 руб., стол руководителя 700 333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руб., шкаф 809 667 руб. за штуку) и 8 коммутаторов ООО «СТ-ПРОЕКТ» №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0173400003826000011 (4 043 212 руб., 505 401 руб. за штуку, техническое задание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соответствует модели Eltex MES3400-48). Эти закупки учтены в группе 2 расчета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ущерба.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Имитация конкуренции.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В закупках картриджей 2026 года по две заявки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завершали торги с одинаковой ценой (201 600 руб.; 568 512 руб.); по картриджам №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0173400003826000004 вместо оригинальных поставлены изделия без товарного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знака китайского производства и приняты без замечаний.</w:t>
      </w:r>
    </w:p>
    <w:p>
      <w:pPr>
        <w:autoSpaceDN w:val="0"/>
        <w:autoSpaceDE w:val="0"/>
        <w:widowControl/>
        <w:spacing w:line="288" w:lineRule="exact" w:before="25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Признаки составов преступлений</w:t>
      </w:r>
    </w:p>
    <w:p>
      <w:pPr>
        <w:autoSpaceDN w:val="0"/>
        <w:autoSpaceDE w:val="0"/>
        <w:widowControl/>
        <w:spacing w:line="276" w:lineRule="exact" w:before="12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Описанные действия содержат, по моему мнению, признаки преступлений,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предусмотренных статьей 285 УК РФ (злоупотребление должностными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полномочиями), статьей 286 УК РФ (превышение должностных полномочий),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статьей 292 УК РФ (служебный подлог: обоснование НМЦК на вычисленных, а не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полученных коммерческих предложениях; приемка несоответствующего товара),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статьей 200.4 УК РФ (злоупотребления в сфере закупок), статьей 159 УК РФ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(хищение бюджетных средств путем завышения цены), а в действиях участников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закупок - статьи 178 УК РФ. Не исключаю наличия признаков статей 290 и 291 УК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РФ. Окончательная квалификация относится к компетенции следственного органа.</w:t>
      </w:r>
    </w:p>
    <w:p>
      <w:pPr>
        <w:autoSpaceDN w:val="0"/>
        <w:autoSpaceDE w:val="0"/>
        <w:widowControl/>
        <w:spacing w:line="288" w:lineRule="exact" w:before="25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Размер ущерба бюджету Российской Федерации</w:t>
      </w:r>
    </w:p>
    <w:p>
      <w:pPr>
        <w:autoSpaceDN w:val="0"/>
        <w:autoSpaceDE w:val="0"/>
        <w:widowControl/>
        <w:spacing w:line="276" w:lineRule="exact" w:before="120" w:after="10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Ущерб причинен федеральному бюджету, из которого финансируется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заказчик. Ниже приведена максимальная оценка ущерба по двум не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пересекающимся группам закупок; точный размер ущерба прошу установить в ходе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проверки, в том числе путем назначения финансово-экономической (бухгалтерской)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и товароведческой экспертиз.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265.99999999999994" w:type="dxa"/>
      </w:tblPr>
      <w:tblGrid>
        <w:gridCol w:w="3235"/>
        <w:gridCol w:w="3235"/>
        <w:gridCol w:w="3235"/>
      </w:tblGrid>
      <w:tr>
        <w:trPr>
          <w:trHeight w:hRule="exact" w:val="320"/>
        </w:trPr>
        <w:tc>
          <w:tcPr>
            <w:tcW w:type="dxa" w:w="311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shd w:fill="e7e6e6"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78" w:right="0" w:firstLine="0"/>
              <w:jc w:val="lef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Группа</w:t>
            </w:r>
          </w:p>
        </w:tc>
        <w:tc>
          <w:tcPr>
            <w:tcW w:type="dxa" w:w="166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shd w:fill="e7e6e6"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0" w:right="72" w:firstLine="0"/>
              <w:jc w:val="righ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Сумма, руб.</w:t>
            </w:r>
          </w:p>
        </w:tc>
        <w:tc>
          <w:tcPr>
            <w:tcW w:type="dxa" w:w="4572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shd w:fill="e7e6e6"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78" w:right="0" w:firstLine="0"/>
              <w:jc w:val="lef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Как определена</w:t>
            </w:r>
          </w:p>
        </w:tc>
      </w:tr>
      <w:tr>
        <w:trPr>
          <w:trHeight w:hRule="exact" w:val="1940"/>
        </w:trPr>
        <w:tc>
          <w:tcPr>
            <w:tcW w:type="dxa" w:w="311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2" w:lineRule="exact" w:before="38" w:after="0"/>
              <w:ind w:left="78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1. Закупки, указанные в разделе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«События преступлений» (полная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цена контрактов, а по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незавершенным закупкам -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НМЦК)</w:t>
            </w:r>
          </w:p>
        </w:tc>
        <w:tc>
          <w:tcPr>
            <w:tcW w:type="dxa" w:w="166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0" w:right="72" w:firstLine="0"/>
              <w:jc w:val="righ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15 534 750,00</w:t>
            </w:r>
          </w:p>
        </w:tc>
        <w:tc>
          <w:tcPr>
            <w:tcW w:type="dxa" w:w="4572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2" w:lineRule="exact" w:before="38" w:after="0"/>
              <w:ind w:left="78" w:right="288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Контракты заключены с нарушением порядка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определения поставщика (предопределенный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победитель, отклонение более дешевых заявок,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сговор участников, подготовка документов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заказчика посторонними лицами, завышенная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НМЦК); при таком нарушении вся сумма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контракта рассматривается как неправомерно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израсходованные бюджетные средства</w:t>
            </w:r>
          </w:p>
        </w:tc>
      </w:tr>
      <w:tr>
        <w:trPr>
          <w:trHeight w:hRule="exact" w:val="1012"/>
        </w:trPr>
        <w:tc>
          <w:tcPr>
            <w:tcW w:type="dxa" w:w="311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2" w:lineRule="exact" w:before="36" w:after="0"/>
              <w:ind w:left="78" w:right="144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2. Иные закупки с одной заявкой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или ценой контракта на уровне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НМЦК</w:t>
            </w:r>
          </w:p>
        </w:tc>
        <w:tc>
          <w:tcPr>
            <w:tcW w:type="dxa" w:w="166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6" w:after="0"/>
              <w:ind w:left="0" w:right="72" w:firstLine="0"/>
              <w:jc w:val="righ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6 275 174,07</w:t>
            </w:r>
          </w:p>
        </w:tc>
        <w:tc>
          <w:tcPr>
            <w:tcW w:type="dxa" w:w="4572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2" w:lineRule="exact" w:before="36" w:after="0"/>
              <w:ind w:left="78" w:right="144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12 закупок; разница между ценой контракта и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ценой, которая сложилась бы при среднем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снижении цены в конкурентных закупках того же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заказчика (33,25%); коммунальные услуги и </w:t>
            </w:r>
          </w:p>
        </w:tc>
      </w:tr>
    </w:tbl>
    <w:p>
      <w:pPr>
        <w:autoSpaceDN w:val="0"/>
        <w:autoSpaceDE w:val="0"/>
        <w:widowControl/>
        <w:spacing w:line="288" w:lineRule="exact" w:before="142" w:after="0"/>
        <w:ind w:left="0" w:right="469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3</w:t>
      </w:r>
    </w:p>
    <w:p>
      <w:pPr>
        <w:sectPr>
          <w:pgSz w:w="11906" w:h="16838"/>
          <w:pgMar w:top="560" w:right="762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46"/>
        <w:ind w:left="0" w:right="0"/>
      </w:pPr>
      <w:r/>
    </w:p>
    <w:tbl>
      <w:tblPr>
        <w:tblW w:type="auto" w:w="0"/>
        <w:tblLayout w:type="fixed"/>
        <w:tblLook w:firstColumn="1" w:firstRow="1" w:lastColumn="0" w:lastRow="0" w:noHBand="0" w:noVBand="1" w:val="04A0"/>
        <w:tblInd w:w="265.99999999999994" w:type="dxa"/>
      </w:tblPr>
      <w:tblGrid>
        <w:gridCol w:w="3235"/>
        <w:gridCol w:w="3235"/>
        <w:gridCol w:w="3235"/>
      </w:tblGrid>
      <w:tr>
        <w:trPr>
          <w:trHeight w:hRule="exact" w:val="322"/>
        </w:trPr>
        <w:tc>
          <w:tcPr>
            <w:tcW w:type="dxa" w:w="311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shd w:fill="e7e6e6"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78" w:right="0" w:firstLine="0"/>
              <w:jc w:val="lef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Группа</w:t>
            </w:r>
          </w:p>
        </w:tc>
        <w:tc>
          <w:tcPr>
            <w:tcW w:type="dxa" w:w="166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shd w:fill="e7e6e6"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0" w:right="72" w:firstLine="0"/>
              <w:jc w:val="righ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Сумма, руб.</w:t>
            </w:r>
          </w:p>
        </w:tc>
        <w:tc>
          <w:tcPr>
            <w:tcW w:type="dxa" w:w="4572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shd w:fill="e7e6e6"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78" w:right="0" w:firstLine="0"/>
              <w:jc w:val="lef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Как определена</w:t>
            </w:r>
          </w:p>
        </w:tc>
      </w:tr>
      <w:tr>
        <w:trPr>
          <w:trHeight w:hRule="exact" w:val="320"/>
        </w:trPr>
        <w:tc>
          <w:tcPr>
            <w:tcW w:type="dxa" w:w="311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572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78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подписка исключены</w:t>
            </w:r>
          </w:p>
        </w:tc>
      </w:tr>
      <w:tr>
        <w:trPr>
          <w:trHeight w:hRule="exact" w:val="390"/>
        </w:trPr>
        <w:tc>
          <w:tcPr>
            <w:tcW w:type="dxa" w:w="311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78" w:right="0" w:firstLine="0"/>
              <w:jc w:val="lef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Итого (максимальная оценка)</w:t>
            </w:r>
          </w:p>
        </w:tc>
        <w:tc>
          <w:tcPr>
            <w:tcW w:type="dxa" w:w="166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0" w:right="72" w:firstLine="0"/>
              <w:jc w:val="righ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21 809 924,07</w:t>
            </w:r>
          </w:p>
        </w:tc>
        <w:tc>
          <w:tcPr>
            <w:tcW w:type="dxa" w:w="4572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276" w:lineRule="exact" w:before="358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Ущерб, прямо подтверждаемый документами, в эпизоде 1 может быть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рассчитан как разница между ценами контракта октября 2025 года и ценами того же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поставщика по контракту августа 2025 года по совпадающим позициям; прошу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установить его экспертизой. Если соотношение цен в 4-6 раз подтвердится по всем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позициям, переплата составит от 75 до 83% цены контракта, т.е. от 11,1 до 12,4 млн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руб.</w:t>
      </w:r>
    </w:p>
    <w:p>
      <w:pPr>
        <w:autoSpaceDN w:val="0"/>
        <w:autoSpaceDE w:val="0"/>
        <w:widowControl/>
        <w:spacing w:line="288" w:lineRule="exact" w:before="25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На основании изложенного ПРОШУ:</w:t>
      </w:r>
    </w:p>
    <w:p>
      <w:pPr>
        <w:autoSpaceDN w:val="0"/>
        <w:tabs>
          <w:tab w:pos="984" w:val="left"/>
        </w:tabs>
        <w:autoSpaceDE w:val="0"/>
        <w:widowControl/>
        <w:spacing w:line="276" w:lineRule="exact" w:before="120" w:after="0"/>
        <w:ind w:left="62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1.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Зарегистрировать настоящее сообщение о преступлении и провести проверку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в порядке статей 144, 145 УПК РФ.</w:t>
      </w:r>
    </w:p>
    <w:p>
      <w:pPr>
        <w:autoSpaceDN w:val="0"/>
        <w:autoSpaceDE w:val="0"/>
        <w:widowControl/>
        <w:spacing w:line="276" w:lineRule="exact" w:before="60" w:after="0"/>
        <w:ind w:left="984" w:right="20" w:hanging="360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2.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Поручить проверку следственному подразделению, не подчиненному органам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 должностным лицам, действия которых являются предметом настоящего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заявления, и не направлять заявление для проверки заказчику или в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подчиненные ему органы.</w:t>
      </w:r>
    </w:p>
    <w:p>
      <w:pPr>
        <w:autoSpaceDN w:val="0"/>
        <w:autoSpaceDE w:val="0"/>
        <w:widowControl/>
        <w:spacing w:line="276" w:lineRule="exact" w:before="60" w:after="0"/>
        <w:ind w:left="984" w:right="20" w:hanging="360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3.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Истребовать у оператора электронной площадки сведения об IP-адресах 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времени подачи заявок по закупкам № 0173400003825000006,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0173400003825000010, 0173400003826000004, 0173400003826000008.</w:t>
      </w:r>
    </w:p>
    <w:p>
      <w:pPr>
        <w:autoSpaceDN w:val="0"/>
        <w:tabs>
          <w:tab w:pos="984" w:val="left"/>
          <w:tab w:pos="2832" w:val="left"/>
          <w:tab w:pos="4168" w:val="left"/>
          <w:tab w:pos="5582" w:val="left"/>
          <w:tab w:pos="7664" w:val="left"/>
          <w:tab w:pos="8486" w:val="left"/>
        </w:tabs>
        <w:autoSpaceDE w:val="0"/>
        <w:widowControl/>
        <w:spacing w:line="276" w:lineRule="exact" w:before="60" w:after="0"/>
        <w:ind w:left="62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4.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Произвести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осмотр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мебели,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поставленной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по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контракту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1970522042825000009, и товара по контракту 1970522042826000003 с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участием специалиста; сопоставить фактически поставленные модели со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спецификациями.</w:t>
      </w:r>
    </w:p>
    <w:p>
      <w:pPr>
        <w:autoSpaceDN w:val="0"/>
        <w:autoSpaceDE w:val="0"/>
        <w:widowControl/>
        <w:spacing w:line="276" w:lineRule="exact" w:before="60" w:after="0"/>
        <w:ind w:left="984" w:right="0" w:hanging="36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5.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Установить владельцев учетных записей «Соня и Саша», «Кирилл», лиц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«Сафронов А.А.» и «Сиверский С.А.», их связь с поставщиками; проверить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связи Макаренко А.А. и Попова А.В. с ООО «РЕСПЕКТ ОФИС», ООО «МАК-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ВУД», ИП Великородней Н.А.</w:t>
      </w:r>
    </w:p>
    <w:p>
      <w:pPr>
        <w:autoSpaceDN w:val="0"/>
        <w:autoSpaceDE w:val="0"/>
        <w:widowControl/>
        <w:spacing w:line="276" w:lineRule="exact" w:before="60" w:after="0"/>
        <w:ind w:left="984" w:right="20" w:hanging="360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6.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Назначить финансово-экономическую и товароведческую экспертизы для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установления размера ущерба, в том числе рыночной стоимости закупленного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товара на даты заключения контрактов.</w:t>
      </w:r>
    </w:p>
    <w:p>
      <w:pPr>
        <w:autoSpaceDN w:val="0"/>
        <w:tabs>
          <w:tab w:pos="984" w:val="left"/>
        </w:tabs>
        <w:autoSpaceDE w:val="0"/>
        <w:widowControl/>
        <w:spacing w:line="276" w:lineRule="exact" w:before="60" w:after="0"/>
        <w:ind w:left="62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7.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 результатам проверки возбудить уголовные дела в отношении виновных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лиц.</w:t>
      </w:r>
    </w:p>
    <w:p>
      <w:pPr>
        <w:autoSpaceDN w:val="0"/>
        <w:autoSpaceDE w:val="0"/>
        <w:widowControl/>
        <w:spacing w:line="276" w:lineRule="exact" w:before="60" w:after="0"/>
        <w:ind w:left="984" w:right="20" w:hanging="360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8.О принятом решении уведомить меня в соответствии с частью 4 статьи 148 УПК РФ по электронной почте [электронная почта] или по почтовому адресу, указанному выше.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</w:r>
    </w:p>
    <w:p>
      <w:pPr>
        <w:autoSpaceDN w:val="0"/>
        <w:autoSpaceDE w:val="0"/>
        <w:widowControl/>
        <w:spacing w:line="276" w:lineRule="exact" w:before="6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Об уголовной ответственности за заведомо ложный донос по статье 306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Уголовного кодекса Российской Федерации предупрежден. Изложенные сведения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основаны на документах, полученных мною от третьих лиц; выводы о признаках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преступлений являются моей оценкой и требуют проверки уполномоченным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органом.</w:t>
      </w:r>
    </w:p>
    <w:p>
      <w:pPr>
        <w:autoSpaceDN w:val="0"/>
        <w:autoSpaceDE w:val="0"/>
        <w:widowControl/>
        <w:spacing w:line="288" w:lineRule="exact" w:before="386" w:after="0"/>
        <w:ind w:left="26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«__» ________ 20__ г.                                    ____________________ / [И.О. Фамилия] /</w:t>
      </w:r>
    </w:p>
    <w:p>
      <w:pPr>
        <w:autoSpaceDN w:val="0"/>
        <w:autoSpaceDE w:val="0"/>
        <w:widowControl/>
        <w:spacing w:line="288" w:lineRule="exact" w:before="1558" w:after="0"/>
        <w:ind w:left="0" w:right="469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4</w:t>
      </w:r>
    </w:p>
    <w:sectPr w:rsidR="00FC693F" w:rsidRPr="0006063C" w:rsidSect="00034616">
      <w:pgSz w:w="11906" w:h="16838"/>
      <w:pgMar w:top="564" w:right="762" w:bottom="354" w:left="14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10" Type="http://schemas.openxmlformats.org/officeDocument/2006/relationships/header" Target="header1.xml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